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36" w:rsidRDefault="00660536" w:rsidP="00660536">
      <w:pPr>
        <w:pStyle w:val="ConsPlusTitle"/>
        <w:jc w:val="center"/>
        <w:outlineLvl w:val="1"/>
      </w:pPr>
      <w:r>
        <w:t>Целевые значения критериев доступности и качества</w:t>
      </w:r>
    </w:p>
    <w:p w:rsidR="00660536" w:rsidRDefault="00660536" w:rsidP="00660536">
      <w:pPr>
        <w:pStyle w:val="ConsPlusTitle"/>
        <w:jc w:val="center"/>
      </w:pPr>
      <w:r>
        <w:t xml:space="preserve">медицинской помощи, оказываемой в рамках </w:t>
      </w:r>
      <w:r w:rsidRPr="00660536">
        <w:t xml:space="preserve">Территориальной программы государственных гарантий бесплатного оказания гражданам медицинской помощи в Новосибирской области на </w:t>
      </w:r>
      <w:r>
        <w:t>2025</w:t>
      </w:r>
      <w:r w:rsidRPr="00660536">
        <w:t xml:space="preserve"> год и на пла</w:t>
      </w:r>
      <w:r>
        <w:t>новый период 2026 и 2027</w:t>
      </w:r>
      <w:r w:rsidRPr="00660536">
        <w:t xml:space="preserve"> годов</w:t>
      </w:r>
    </w:p>
    <w:p w:rsidR="00660536" w:rsidRDefault="00660536" w:rsidP="00660536">
      <w:pPr>
        <w:pStyle w:val="ConsPlusNormal"/>
        <w:ind w:firstLine="540"/>
        <w:jc w:val="both"/>
      </w:pPr>
    </w:p>
    <w:p w:rsidR="00660536" w:rsidRDefault="00660536" w:rsidP="00660536">
      <w:pPr>
        <w:pStyle w:val="ConsPlusNormal"/>
        <w:ind w:firstLine="540"/>
        <w:jc w:val="both"/>
      </w:pPr>
      <w:r>
        <w:t>Критериями доступности медицинской помощи являются: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1) удовлетворенность населения доступностью медицинской помощи (процентов числа опрошенных) - 74,5%, в том числе городского (процентов числа опрошенных) - 67,4%, сельского населения (процентов числа опрошенных) - 74,0%;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2)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- 83%;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3) число пациентов, зарегистрированных на территории Новосибирской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соглашения, - 0 детей;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4) доля расходов на оказание медицинской помощи в условиях дневных стационаров в общих расходах на Программу - 7,8%;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5) доля расходов на оказание медицинской помощи в амбулаторных условиях в неотложной форме в общих расходах на Программу - 1,8%;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6)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страхования, - 5%;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7) число пациентов, которым оказана паллиативная медицинская помощь по месту их фактического пребывания за пределами Новосибирской области, на территории которой указанные пациенты зарегистрированы по месту жительства, - 0 человек;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8) 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заболеваниями, - 82%;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9) доля граждан, обеспеченных лекарственными препаратами, в общем количестве льготных категорий граждан - 99%;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10) 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наблюдения, - 95%;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11) 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 - 85%.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Критериями качества медицинской помощи являются: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1)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- 2,8%;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2)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- 2,5%;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3) 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- 8%;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4)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- 96,9%;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5)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- 65%;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 xml:space="preserve">6) 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его проведению, - 60%;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 xml:space="preserve">7) 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t>тромболизис</w:t>
      </w:r>
      <w:proofErr w:type="spellEnd"/>
      <w: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помощи, - не более 12%;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 xml:space="preserve">8) 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проведению, - 25%;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9) 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болезнями, - 40%;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 xml:space="preserve">10) 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заболевания, - 7%;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 xml:space="preserve">11) 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- 7%;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12)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помощи, - 98%;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13)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Программы, - 474;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14) 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- 0,2%;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15) охват диспансерным наблюдением граждан, состоящих на учете в медицинской организации с диагнозом "бронхиальная астма", - 98% в год;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 xml:space="preserve">16) охват диспансерным наблюдением граждан, состоящих на учете в медицинской организации с диагнозом "хроническая </w:t>
      </w:r>
      <w:proofErr w:type="spellStart"/>
      <w:r>
        <w:t>обструктивная</w:t>
      </w:r>
      <w:proofErr w:type="spellEnd"/>
      <w:r>
        <w:t xml:space="preserve"> болезнь легких" - 80%;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17) доля пациентов с диагнозом "хроническая сердечная недостаточность", находящихся под диспансерным наблюдением, получающих лекарственное обеспечение - 30%;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18) охват диспансерным наблюдением граждан, состоящих на учете в медицинской организации с диагнозом "гипертоническая болезнь" - 35% в год;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19) охват диспансерным наблюдением граждан, состоящих на учете в медицинской организации с диагнозом "сахарный диабет", - 70,3% в год;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20) количество пациентов с гепатитом C, получивших противовирусную терапию, на 100 тыс. населения в год - 16,5;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21) 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- 75%;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22) доля пациентов, получающих лечебное (</w:t>
      </w:r>
      <w:proofErr w:type="spellStart"/>
      <w:r>
        <w:t>энтеральное</w:t>
      </w:r>
      <w:proofErr w:type="spellEnd"/>
      <w: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>
        <w:t>энтеральном</w:t>
      </w:r>
      <w:proofErr w:type="spellEnd"/>
      <w:r>
        <w:t>) питании при оказании паллиативной медицинской помощи - 70%;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23) доля лиц репродуктивного возраста, прошедших диспансеризацию для оценки репродуктивного здоровья (отдельно по мужчинам и женщинам) - 32%;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24) 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 - 100%;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25) число циклов экстракорпорального оплодотворения, выполняемых медицинской организацией, в течение одного года - 100 и более случаев;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26) доля случаев экстракорпорального оплодотворения, по результатам которого у женщины наступила беременность - 17%;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27) 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- 10%;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28) доля ветеранов боевых действий, получивших паллиативную медицинскую помощь и (или) лечебное (</w:t>
      </w:r>
      <w:proofErr w:type="spellStart"/>
      <w:r>
        <w:t>энтеральное</w:t>
      </w:r>
      <w:proofErr w:type="spellEnd"/>
      <w:r>
        <w:t>) питание, из числа нуждающихся - 100%;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29) 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 - 25%;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 xml:space="preserve">30) доля лиц старше 65 лет, которым проведена </w:t>
      </w:r>
      <w:proofErr w:type="spellStart"/>
      <w:r>
        <w:t>противопневмококковая</w:t>
      </w:r>
      <w:proofErr w:type="spellEnd"/>
      <w:r>
        <w:t xml:space="preserve"> вакцинация (13-валентной и/или 23-валентной вакциной) - 10%.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Кроме того,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 xml:space="preserve">доля объема средств, направленных на оказание специализированной, в том числе высокотехнологичной, медицинской помощи с коэффициентом относительной </w:t>
      </w:r>
      <w:proofErr w:type="spellStart"/>
      <w:r>
        <w:t>затратоемкости</w:t>
      </w:r>
      <w:proofErr w:type="spellEnd"/>
      <w:r>
        <w:t>, равным 2 и более, в общем объеме средств, направленных на оказание оказанной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2025 - 2027 годах не менее 70%, для остальных федеральных медицинских организаций в 2025 году - не менее 80%, в 2026 - 2027 годах - не менее 85%).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"Здравоохранение" и "Демография".</w:t>
      </w:r>
    </w:p>
    <w:p w:rsidR="00660536" w:rsidRDefault="00660536" w:rsidP="00660536">
      <w:pPr>
        <w:pStyle w:val="ConsPlusNormal"/>
        <w:spacing w:before="220"/>
        <w:ind w:firstLine="540"/>
        <w:jc w:val="both"/>
      </w:pPr>
      <w:r>
        <w:t>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Федерации.</w:t>
      </w:r>
    </w:p>
    <w:p w:rsidR="0039241B" w:rsidRDefault="0039241B"/>
    <w:sectPr w:rsidR="0039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36"/>
    <w:rsid w:val="0039241B"/>
    <w:rsid w:val="00660536"/>
    <w:rsid w:val="008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0C7F"/>
  <w15:chartTrackingRefBased/>
  <w15:docId w15:val="{719000BB-F0CC-4CDC-8D78-287A2459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05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Наталья Борисовна</dc:creator>
  <cp:keywords/>
  <dc:description/>
  <cp:lastModifiedBy>Беляева Наталья Борисовна</cp:lastModifiedBy>
  <cp:revision>1</cp:revision>
  <dcterms:created xsi:type="dcterms:W3CDTF">2025-05-13T06:34:00Z</dcterms:created>
  <dcterms:modified xsi:type="dcterms:W3CDTF">2025-05-13T06:35:00Z</dcterms:modified>
</cp:coreProperties>
</file>